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before="0" w:after="40"/>
      </w:pPr>
      <w:r>
        <w:rPr>
          <w:rFonts w:ascii="Calibri" w:hAnsi="Calibri"/>
          <w:sz w:val="40"/>
          <w:color w:val="111111"/>
          <w:b/>
        </w:rPr>
        <w:t xml:space="preserve">JOE NALLEY</w:t>
      </w:r>
    </w:p>
    <w:p>
      <w:pPr>
        <w:spacing w:before="0" w:after="160"/>
      </w:pPr>
      <w:r>
        <w:rPr>
          <w:rFonts w:ascii="Calibri" w:hAnsi="Calibri"/>
          <w:sz w:val="19"/>
          <w:color w:val="333333"/>
        </w:rPr>
        <w:t xml:space="preserve">Louisville, KY  ·  joe.nalley@showyourwork.health  ·  (502) 489-1771  ·  linkedin.com/in/josephnalley</w:t>
      </w:r>
    </w:p>
    <w:p>
      <w:pPr>
        <w:spacing w:before="0" w:after="120"/>
      </w:pPr>
      <w:r>
        <w:rPr>
          <w:rFonts w:ascii="Calibri" w:hAnsi="Calibri"/>
          <w:sz w:val="20"/>
          <w:color w:val="111111"/>
        </w:rPr>
        <w:t>I've sat in both chairs at the payer-provider table. Built a health system from scratch, scaled to $30M, took it through acquisition. Sold a billing platform that returned $9.2M in its first six months of full deployment. Now I run specialty risk portfolios inside Carelon (Elevance Health) while building governance products independently for gaps the industry has left open. The payer role makes me a better founder. The founding makes me a better executive. The gap I'm building for is visible from both seats.</w:t>
      </w:r>
    </w:p>
    <w:p>
      <w:pPr>
        <w:spacing w:before="0" w:after="120"/>
      </w:pPr>
      <w:r>
        <w:rPr>
          <w:rFonts w:ascii="Calibri" w:hAnsi="Calibri"/>
          <w:sz w:val="18"/>
          <w:color w:val="444444"/>
        </w:rPr>
        <w:t xml:space="preserve">$30M+ exit (health system)  ·  $9.2M returned (first 6 months)  ·  200K+ patients served (career)  ·  65,234 evidence cohort (NIH-validated)  ·  45M+ members under specialty risk</w:t>
      </w:r>
    </w:p>
    <w:p>
      <w:pPr>
        <w:spacing w:before="240" w:after="60"/>
        <w:pBdr>
          <w:bottom w:val="single" w:sz="8" w:space="2" w:color="111111"/>
        </w:pBdr>
      </w:pPr>
      <w:r>
        <w:rPr>
          <w:rFonts w:ascii="Calibri" w:hAnsi="Calibri"/>
          <w:sz w:val="22"/>
          <w:color w:val="111111"/>
          <w:b/>
        </w:rPr>
        <w:t xml:space="preserve">EXPERIENCE</w:t>
      </w:r>
    </w:p>
    <w:p>
      <w:pPr>
        <w:spacing w:before="140" w:after="20"/>
      </w:pPr>
      <w:r>
        <w:rPr>
          <w:rFonts w:ascii="Calibri" w:hAnsi="Calibri"/>
          <w:sz w:val="21"/>
          <w:color w:val="111111"/>
          <w:b/>
        </w:rPr>
        <w:t xml:space="preserve">Staff Vice President, Specialty Risk Product Strategy</w:t>
      </w:r>
      <w:r>
        <w:rPr>
          <w:rFonts w:ascii="Calibri" w:hAnsi="Calibri"/>
          <w:sz w:val="19"/>
          <w:color w:val="444444"/>
        </w:rPr>
        <w:t xml:space="preserve">   |   2024 – Present</w:t>
      </w:r>
    </w:p>
    <w:p>
      <w:pPr>
        <w:spacing w:before="0" w:after="80"/>
      </w:pPr>
      <w:r>
        <w:rPr>
          <w:rFonts w:ascii="Calibri" w:hAnsi="Calibri"/>
          <w:sz w:val="19"/>
          <w:color w:val="333333"/>
          <w:i/>
        </w:rPr>
        <w:t>Carelon — Health Services arm of Elevance Health  |  Louisville, KY</w:t>
      </w:r>
    </w:p>
    <w:p>
      <w:pPr>
        <w:spacing w:before="0" w:after="60"/>
        <w:ind w:left="360" w:hanging="216"/>
      </w:pPr>
      <w:r>
        <w:rPr>
          <w:rFonts w:ascii="Calibri" w:hAnsi="Calibri"/>
          <w:sz w:val="20"/>
          <w:color w:val="111111"/>
        </w:rPr>
        <w:t xml:space="preserve">•  Lead product strategy across six integrated specialty risk portfolios. 45M+ total plan members; 30M managed lives across specialty medical spend covering six high-acuity specialty risk books.</w:t>
      </w:r>
    </w:p>
    <w:p>
      <w:pPr>
        <w:spacing w:before="0" w:after="60"/>
        <w:ind w:left="360" w:hanging="216"/>
      </w:pPr>
      <w:r>
        <w:rPr>
          <w:rFonts w:ascii="Calibri" w:hAnsi="Calibri"/>
          <w:sz w:val="20"/>
          <w:color w:val="111111"/>
        </w:rPr>
        <w:t xml:space="preserve">•  Direct a product team of directors, analysts, PMs, and product owners. Work across Finance, Actuarial, Legal, Compliance, IT, and Provider Partnerships.</w:t>
      </w:r>
    </w:p>
    <w:p>
      <w:pPr>
        <w:spacing w:before="0" w:after="60"/>
        <w:ind w:left="360" w:hanging="216"/>
      </w:pPr>
      <w:r>
        <w:rPr>
          <w:rFonts w:ascii="Calibri" w:hAnsi="Calibri"/>
          <w:sz w:val="20"/>
          <w:color w:val="111111"/>
        </w:rPr>
        <w:t xml:space="preserve">•  Built Risk Playbook 2.0: defined the RACI, commercialization process, and phase-gating framework for bringing risk products to external market. Sole author, built from 50+ internal interviews into an interactive governance tool. Now the operating standard for risk product commercialization across the subsidiary.</w:t>
      </w:r>
    </w:p>
    <w:p>
      <w:pPr>
        <w:spacing w:before="0" w:after="60"/>
        <w:ind w:left="360" w:hanging="216"/>
      </w:pPr>
      <w:r>
        <w:rPr>
          <w:rFonts w:ascii="Calibri" w:hAnsi="Calibri"/>
          <w:sz w:val="20"/>
          <w:color w:val="111111"/>
        </w:rPr>
        <w:t xml:space="preserve">•  Drove the MSK risk expansion business case ($48M+ modeled operating gain, three-year horizon). Found and defined the operating model gaps blocking two additional programs from reaching market. Both now in active remediation.</w:t>
      </w:r>
    </w:p>
    <w:p>
      <w:pPr>
        <w:spacing w:before="0" w:after="60"/>
        <w:ind w:left="360" w:hanging="216"/>
      </w:pPr>
      <w:r>
        <w:rPr>
          <w:rFonts w:ascii="Calibri" w:hAnsi="Calibri"/>
          <w:sz w:val="20"/>
          <w:color w:val="111111"/>
        </w:rPr>
        <w:t xml:space="preserve">•  Built the blueprint for a member-intelligence hub connecting clinical, claims, and risk data across all specialty books. One coordinated record instead of three separate programs for a member's orthopedic episode, chronic condition, and behavioral health needs.</w:t>
      </w:r>
    </w:p>
    <w:p>
      <w:pPr>
        <w:spacing w:before="140" w:after="20"/>
      </w:pPr>
      <w:r>
        <w:rPr>
          <w:rFonts w:ascii="Calibri" w:hAnsi="Calibri"/>
          <w:sz w:val="21"/>
          <w:color w:val="111111"/>
          <w:b/>
        </w:rPr>
        <w:t xml:space="preserve">Founder &amp; CEO</w:t>
      </w:r>
      <w:r>
        <w:rPr>
          <w:rFonts w:ascii="Calibri" w:hAnsi="Calibri"/>
          <w:sz w:val="19"/>
          <w:color w:val="444444"/>
        </w:rPr>
        <w:t xml:space="preserve">   |   2025 – Present</w:t>
      </w:r>
    </w:p>
    <w:p>
      <w:pPr>
        <w:spacing w:before="0" w:after="80"/>
      </w:pPr>
      <w:r>
        <w:rPr>
          <w:rFonts w:ascii="Calibri" w:hAnsi="Calibri"/>
          <w:sz w:val="19"/>
          <w:color w:val="333333"/>
          <w:i/>
        </w:rPr>
        <w:t xml:space="preserve">Corridor (Cadence · Caliber · Curated + 4 more)  |  Louisville, KY</w:t>
      </w:r>
    </w:p>
    <w:p>
      <w:pPr>
        <w:spacing w:before="0" w:after="60"/>
        <w:ind w:left="360" w:hanging="216"/>
      </w:pPr>
      <w:r>
        <w:rPr>
          <w:rFonts w:ascii="Calibri" w:hAnsi="Calibri"/>
          <w:sz w:val="20"/>
          <w:color w:val="111111"/>
        </w:rPr>
        <w:t xml:space="preserve">•  Built the governance layer for what happens after authorization. Cadence governs specialty pharmacy continuation. Caliber verifies high-cost claims before payment. Curated routes behavioral health episodes. Seven products and four tools under the Corridor umbrella, all built as sole contributor. Full portfolio at joe-nalley.com.</w:t>
      </w:r>
    </w:p>
    <w:p>
      <w:pPr>
        <w:spacing w:before="0" w:after="60"/>
        <w:ind w:left="360" w:hanging="216"/>
      </w:pPr>
      <w:r>
        <w:rPr>
          <w:rFonts w:ascii="Calibri" w:hAnsi="Calibri"/>
          <w:sz w:val="20"/>
          <w:color w:val="111111"/>
        </w:rPr>
        <w:t xml:space="preserve">•  Authored the Cadence Governance Standard (CGS v1.1): 8-section clinical framework defining when, how, and by whom a continuation therapy gets reassessed. 7 required triggers. Open standard, published for industry adoption.</w:t>
      </w:r>
    </w:p>
    <w:p>
      <w:pPr>
        <w:spacing w:before="0" w:after="60"/>
        <w:ind w:left="360" w:hanging="216"/>
      </w:pPr>
      <w:r>
        <w:rPr>
          <w:rFonts w:ascii="Calibri" w:hAnsi="Calibri"/>
          <w:sz w:val="20"/>
          <w:color w:val="111111"/>
        </w:rPr>
        <w:t xml:space="preserve">•  Three locked cohorts totaling 65,234 patients. Flag rates of 25–29.1% converge across all three populations, anchored by the 30,734-patient NIH All of Us study. Modeled first-cycle savings value of $14.3M covering four drug classes.</w:t>
      </w:r>
    </w:p>
    <w:p>
      <w:pPr>
        <w:spacing w:before="0" w:after="60"/>
        <w:ind w:left="360" w:hanging="216"/>
      </w:pPr>
      <w:r>
        <w:rPr>
          <w:rFonts w:ascii="Calibri" w:hAnsi="Calibri"/>
          <w:sz w:val="20"/>
          <w:color w:val="111111"/>
        </w:rPr>
        <w:t xml:space="preserve">•  Built the platform architecture, pricing models, and every site. 11,000+ lines on Cadence alone, single-file, no framework. Pharmacy Times article published (April 2026). Manuscripts submitted to Health Affairs and AJMC.</w:t>
      </w:r>
    </w:p>
    <w:p>
      <w:pPr>
        <w:spacing w:before="140" w:after="20"/>
      </w:pPr>
      <w:r>
        <w:rPr>
          <w:rFonts w:ascii="Calibri" w:hAnsi="Calibri"/>
          <w:sz w:val="21"/>
          <w:color w:val="111111"/>
          <w:b/>
        </w:rPr>
        <w:t xml:space="preserve">Founder</w:t>
      </w:r>
      <w:r>
        <w:rPr>
          <w:rFonts w:ascii="Calibri" w:hAnsi="Calibri"/>
          <w:sz w:val="19"/>
          <w:color w:val="444444"/>
        </w:rPr>
        <w:t xml:space="preserve">   |   2023 – 2025</w:t>
      </w:r>
    </w:p>
    <w:p>
      <w:pPr>
        <w:spacing w:before="0" w:after="80"/>
      </w:pPr>
      <w:r>
        <w:rPr>
          <w:rFonts w:ascii="Calibri" w:hAnsi="Calibri"/>
          <w:sz w:val="19"/>
          <w:color w:val="333333"/>
          <w:i/>
        </w:rPr>
        <w:t xml:space="preserve">ClearBill (acquired)  |  Remote</w:t>
      </w:r>
    </w:p>
    <w:p>
      <w:pPr>
        <w:spacing w:before="0" w:after="60"/>
        <w:ind w:left="360" w:hanging="216"/>
      </w:pPr>
      <w:r>
        <w:rPr>
          <w:rFonts w:ascii="Calibri" w:hAnsi="Calibri"/>
          <w:sz w:val="20"/>
          <w:color w:val="111111"/>
        </w:rPr>
        <w:t xml:space="preserve">•  Built a real-time billing integrity platform that audits claims before they reach the payer. AI + human QA layer between clinical delivery and financial accountability. Catches errors, overcharges, and code mismatches at the source.</w:t>
      </w:r>
    </w:p>
    <w:p>
      <w:pPr>
        <w:spacing w:before="0" w:after="60"/>
        <w:ind w:left="360" w:hanging="216"/>
      </w:pPr>
      <w:r>
        <w:rPr>
          <w:rFonts w:ascii="Calibri" w:hAnsi="Calibri"/>
          <w:sz w:val="20"/>
          <w:color w:val="111111"/>
        </w:rPr>
        <w:t xml:space="preserve">•  Pilot: 30K patients, 125K+ claims, 61% denial reduction, ~$9.2M returned in its first six months of full deployment. B2C-to-B2B platform with payer PEPM revenue model. Acquired (confidential). Stayed on as CEO through integration.</w:t>
      </w:r>
    </w:p>
    <w:p>
      <w:pPr>
        <w:spacing w:before="140" w:after="20"/>
      </w:pPr>
      <w:r>
        <w:rPr>
          <w:rFonts w:ascii="Calibri" w:hAnsi="Calibri"/>
          <w:sz w:val="21"/>
          <w:color w:val="111111"/>
          <w:b/>
        </w:rPr>
        <w:t xml:space="preserve">Founder &amp; CEO</w:t>
      </w:r>
      <w:r>
        <w:rPr>
          <w:rFonts w:ascii="Calibri" w:hAnsi="Calibri"/>
          <w:sz w:val="19"/>
          <w:color w:val="444444"/>
        </w:rPr>
        <w:t xml:space="preserve">   |   2012 – 2025</w:t>
      </w:r>
    </w:p>
    <w:p>
      <w:pPr>
        <w:spacing w:before="0" w:after="80"/>
      </w:pPr>
      <w:r>
        <w:rPr>
          <w:rFonts w:ascii="Calibri" w:hAnsi="Calibri"/>
          <w:sz w:val="19"/>
          <w:color w:val="333333"/>
          <w:i/>
        </w:rPr>
        <w:t xml:space="preserve">GetWell Health System / North Clark / Kentucky Recovery / KMHC  |  KY, IN, GA, TX</w:t>
      </w:r>
    </w:p>
    <w:p>
      <w:pPr>
        <w:spacing w:before="0" w:after="60"/>
        <w:ind w:left="360" w:hanging="216"/>
      </w:pPr>
      <w:r>
        <w:rPr>
          <w:rFonts w:ascii="Calibri" w:hAnsi="Calibri"/>
          <w:sz w:val="20"/>
          <w:color w:val="111111"/>
        </w:rPr>
        <w:t xml:space="preserve">•  Founded Kentucky Mental Health Care (2012). Scaled to a 13-location health system across four states with 250+ employees and $30M+ in annual revenue at time of sale.</w:t>
      </w:r>
    </w:p>
    <w:p>
      <w:pPr>
        <w:spacing w:before="0" w:after="60"/>
        <w:ind w:left="360" w:hanging="216"/>
      </w:pPr>
      <w:r>
        <w:rPr>
          <w:rFonts w:ascii="Calibri" w:hAnsi="Calibri"/>
          <w:sz w:val="20"/>
          <w:color w:val="111111"/>
        </w:rPr>
        <w:t xml:space="preserve">•  Launched Kentucky Recovery (2018): state and federally licensed narcotic treatment program and SUD operation. Statewide coverage, 15,000+ patients per year.</w:t>
      </w:r>
    </w:p>
    <w:p>
      <w:pPr>
        <w:spacing w:before="0" w:after="60"/>
        <w:ind w:left="360" w:hanging="216"/>
      </w:pPr>
      <w:r>
        <w:rPr>
          <w:rFonts w:ascii="Calibri" w:hAnsi="Calibri"/>
          <w:sz w:val="20"/>
          <w:color w:val="111111"/>
        </w:rPr>
        <w:t xml:space="preserve">•  Established GetWell Health System, North Clark Community Hospital, and North Clark Medical Group (2021). Built a new regional hospital from the ground up with primary care, imaging, surgery, cardiology, neurology, and a full diagnostic lab.</w:t>
      </w:r>
    </w:p>
    <w:p>
      <w:pPr>
        <w:spacing w:before="0" w:after="60"/>
        <w:ind w:left="360" w:hanging="216"/>
      </w:pPr>
      <w:r>
        <w:rPr>
          <w:rFonts w:ascii="Calibri" w:hAnsi="Calibri"/>
          <w:sz w:val="20"/>
          <w:color w:val="111111"/>
        </w:rPr>
        <w:t xml:space="preserve">•  Led the full health system through acquisition (confidential). Stayed on as CEO for 3.5 years post-acquisition. Diligence, transition planning, and post-close integration. Full P&amp;L responsibility, dozens of payer contracts covering Medicaid, commercial, and Medicare lines. 200,000+ patients served combined at time of sale.</w:t>
      </w:r>
    </w:p>
    <w:p>
      <w:pPr>
        <w:spacing w:before="140" w:after="20"/>
      </w:pPr>
      <w:r>
        <w:rPr>
          <w:rFonts w:ascii="Calibri" w:hAnsi="Calibri"/>
          <w:sz w:val="21"/>
          <w:color w:val="111111"/>
          <w:b/>
        </w:rPr>
        <w:t xml:space="preserve">Founder</w:t>
      </w:r>
      <w:r>
        <w:rPr>
          <w:rFonts w:ascii="Calibri" w:hAnsi="Calibri"/>
          <w:sz w:val="19"/>
          <w:color w:val="444444"/>
        </w:rPr>
        <w:t xml:space="preserve">   |   2007 – 2012</w:t>
      </w:r>
    </w:p>
    <w:p>
      <w:pPr>
        <w:spacing w:before="0" w:after="80"/>
      </w:pPr>
      <w:r>
        <w:rPr>
          <w:rFonts w:ascii="Calibri" w:hAnsi="Calibri"/>
          <w:sz w:val="19"/>
          <w:color w:val="333333"/>
          <w:i/>
        </w:rPr>
        <w:t xml:space="preserve">Jing Masters (sold)  |  Two locations + e-commerce</w:t>
      </w:r>
    </w:p>
    <w:p>
      <w:pPr>
        <w:spacing w:before="0" w:after="60"/>
      </w:pPr>
      <w:r>
        <w:rPr>
          <w:rFonts w:ascii="Calibri" w:hAnsi="Calibri"/>
          <w:sz w:val="20"/>
          <w:color w:val="111111"/>
        </w:rPr>
        <w:t xml:space="preserve">First company. Traditional Chinese herbal medicine: two retail locations and the e-commerce store that made most of the money — tinctures, blends, single-herb extracts. Built and ran the online storefront. Sold in 2012, the same year Kentucky Mental Health Care was founded.</w:t>
      </w:r>
    </w:p>
    <w:p>
      <w:pPr>
        <w:spacing w:before="240" w:after="60"/>
        <w:pBdr>
          <w:bottom w:val="single" w:sz="8" w:space="2" w:color="111111"/>
        </w:pBdr>
      </w:pPr>
      <w:r>
        <w:rPr>
          <w:rFonts w:ascii="Calibri" w:hAnsi="Calibri"/>
          <w:sz w:val="22"/>
          <w:color w:val="111111"/>
          <w:b/>
        </w:rPr>
        <w:t xml:space="preserve">EDUCATION</w:t>
      </w:r>
    </w:p>
    <w:p>
      <w:pPr>
        <w:spacing w:before="0" w:after="40"/>
      </w:pPr>
      <w:r>
        <w:rPr>
          <w:rFonts w:ascii="Calibri" w:hAnsi="Calibri"/>
          <w:sz w:val="20"/>
          <w:color w:val="111111"/>
          <w:b/>
        </w:rPr>
        <w:t xml:space="preserve">M.S., Applied Behavior Analysis</w:t>
      </w:r>
      <w:r>
        <w:rPr>
          <w:rFonts w:ascii="Calibri" w:hAnsi="Calibri"/>
          <w:sz w:val="20"/>
          <w:color w:val="111111"/>
        </w:rPr>
        <w:t xml:space="preserve"> — Northeastern University</w:t>
      </w:r>
    </w:p>
    <w:p>
      <w:pPr>
        <w:spacing w:before="0" w:after="40"/>
      </w:pPr>
      <w:r>
        <w:rPr>
          <w:rFonts w:ascii="Calibri" w:hAnsi="Calibri"/>
          <w:sz w:val="20"/>
          <w:color w:val="111111"/>
          <w:b/>
        </w:rPr>
        <w:t xml:space="preserve">B.S., Organizational Leadership and Development</w:t>
      </w:r>
      <w:r>
        <w:rPr>
          <w:rFonts w:ascii="Calibri" w:hAnsi="Calibri"/>
          <w:sz w:val="20"/>
          <w:color w:val="111111"/>
        </w:rPr>
        <w:t xml:space="preserve"> — University of Louisville</w:t>
      </w:r>
    </w:p>
    <w:p>
      <w:pPr>
        <w:spacing w:before="240" w:after="60"/>
        <w:pBdr>
          <w:bottom w:val="single" w:sz="8" w:space="2" w:color="111111"/>
        </w:pBdr>
      </w:pPr>
      <w:r>
        <w:rPr>
          <w:rFonts w:ascii="Calibri" w:hAnsi="Calibri"/>
          <w:sz w:val="22"/>
          <w:color w:val="111111"/>
          <w:b/>
        </w:rPr>
        <w:t xml:space="preserve">REGULATORY &amp; OPERATIONAL CREDENTIALS</w:t>
      </w:r>
    </w:p>
    <w:p>
      <w:pPr>
        <w:spacing w:before="0" w:after="40"/>
      </w:pPr>
      <w:r>
        <w:rPr>
          <w:rFonts w:ascii="Calibri" w:hAnsi="Calibri"/>
          <w:sz w:val="20"/>
          <w:color w:val="111111"/>
        </w:rPr>
        <w:t>DEA-licensed (narcotic treatment programs)  ·  JCAHO-accredited (hospital + behavioral health)  ·  SAMHSA-certified (opioid treatment programs)  ·  Multi-state clinical licensure (KY, OH, GA, IN, TX)</w:t>
      </w:r>
    </w:p>
    <w:p>
      <w:pPr>
        <w:spacing w:before="240" w:after="60"/>
        <w:pBdr>
          <w:bottom w:val="single" w:sz="8" w:space="2" w:color="111111"/>
        </w:pBdr>
      </w:pPr>
      <w:r>
        <w:rPr>
          <w:rFonts w:ascii="Calibri" w:hAnsi="Calibri"/>
          <w:sz w:val="22"/>
          <w:color w:val="111111"/>
          <w:b/>
        </w:rPr>
        <w:t xml:space="preserve">ADVISORY</w:t>
      </w:r>
    </w:p>
    <w:p>
      <w:pPr>
        <w:spacing w:before="0" w:after="40"/>
      </w:pPr>
      <w:r>
        <w:rPr>
          <w:rFonts w:ascii="Calibri" w:hAnsi="Calibri"/>
          <w:sz w:val="20"/>
          <w:color w:val="111111"/>
          <w:b/>
        </w:rPr>
        <w:t xml:space="preserve">The Home Depot</w:t>
      </w:r>
      <w:r>
        <w:rPr>
          <w:rFonts w:ascii="Calibri" w:hAnsi="Calibri"/>
          <w:sz w:val="20"/>
          <w:color w:val="111111"/>
        </w:rPr>
        <w:t xml:space="preserve"> — Benefits strategy (Head of Benefits)</w:t>
      </w:r>
    </w:p>
    <w:p>
      <w:pPr>
        <w:spacing w:before="240" w:after="60"/>
        <w:pBdr>
          <w:bottom w:val="single" w:sz="8" w:space="2" w:color="111111"/>
        </w:pBdr>
      </w:pPr>
      <w:r>
        <w:rPr>
          <w:rFonts w:ascii="Calibri" w:hAnsi="Calibri"/>
          <w:sz w:val="22"/>
          <w:color w:val="111111"/>
          <w:b/>
        </w:rPr>
        <w:t xml:space="preserve">PUBLICATIONS</w:t>
      </w:r>
    </w:p>
    <w:p>
      <w:pPr>
        <w:spacing w:before="0" w:after="40"/>
      </w:pPr>
      <w:r>
        <w:rPr>
          <w:rFonts w:ascii="Calibri" w:hAnsi="Calibri"/>
          <w:sz w:val="20"/>
          <w:color w:val="111111"/>
          <w:b/>
        </w:rPr>
        <w:t xml:space="preserve">Pharmacy Times</w:t>
      </w:r>
      <w:r>
        <w:rPr>
          <w:rFonts w:ascii="Calibri" w:hAnsi="Calibri"/>
          <w:sz w:val="20"/>
          <w:color w:val="111111"/>
        </w:rPr>
        <w:t xml:space="preserve"> — "The Missing Measure: Continuation Appropriateness in Managed Care" (April 2026)</w:t>
      </w:r>
    </w:p>
    <w:p>
      <w:pPr>
        <w:spacing w:before="0" w:after="40"/>
      </w:pPr>
      <w:r>
        <w:rPr>
          <w:rFonts w:ascii="Calibri" w:hAnsi="Calibri"/>
          <w:sz w:val="20"/>
          <w:color w:val="111111"/>
        </w:rPr>
        <w:t xml:space="preserve">Manuscripts submitted: Health Affairs, AJMC (commentary)</w:t>
      </w:r>
    </w:p>
    <w:p>
      <w:pPr>
        <w:spacing w:before="0" w:after="40"/>
      </w:pPr>
      <w:r>
        <w:rPr>
          <w:rFonts w:ascii="Calibri" w:hAnsi="Calibri"/>
          <w:sz w:val="20"/>
          <w:color w:val="111111"/>
        </w:rPr>
        <w:t xml:space="preserve">NIH All of Us DURA study — 30,734 patients. Federal validation complete.</w:t>
      </w:r>
    </w:p>
    <w:p>
      <w:pPr>
        <w:spacing w:before="240" w:after="60"/>
        <w:pBdr>
          <w:bottom w:val="single" w:sz="8" w:space="2" w:color="111111"/>
        </w:pBdr>
      </w:pPr>
      <w:r>
        <w:rPr>
          <w:rFonts w:ascii="Calibri" w:hAnsi="Calibri"/>
          <w:sz w:val="22"/>
          <w:color w:val="111111"/>
          <w:b/>
        </w:rPr>
        <w:t xml:space="preserve">OPEN TO</w:t>
      </w:r>
    </w:p>
    <w:p>
      <w:pPr>
        <w:spacing w:before="0" w:after="40"/>
      </w:pPr>
      <w:r>
        <w:rPr>
          <w:rFonts w:ascii="Calibri" w:hAnsi="Calibri"/>
          <w:sz w:val="20"/>
          <w:color w:val="111111"/>
        </w:rPr>
        <w:t xml:space="preserve">Product leadership. Healthcare operations. Venture partnership. EIR. Strategy and advisory for organizations that build, not ones that study building. Remote preferred. Relocation for the right thing.</w:t>
      </w:r>
    </w:p>
    <w:sectPr>
      <w:pgSz w:w="12240" w:h="15840"/>
      <w:pgMar w:top="1080" w:right="1152" w:bottom="1080" w:left="1152" w:header="720" w:footer="720"/>
    </w:sectPr>
  </w:body>
</w:document>
</file>

<file path=docProps/core.xml><?xml version="1.0" encoding="utf-8"?>
<cp:coreProperties xmlns:cp="http://schemas.openxmlformats.org/package/2006/metadata/core-properties" xmlns:dc="http://purl.org/dc/elements/1.1/">
  <dc:title>Joe Nalley — Resume</dc:title>
  <dc:creator>Joe Nalley</dc:creator>
</cp:coreProperties>
</file>